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1"/>
        <w:gridCol w:w="2673"/>
      </w:tblGrid>
      <w:tr w:rsidR="00FF7A51" w14:paraId="3AE99EB2" w14:textId="77777777" w:rsidTr="002158A5">
        <w:trPr>
          <w:trHeight w:val="605"/>
        </w:trPr>
        <w:tc>
          <w:tcPr>
            <w:tcW w:w="356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20" w:type="dxa"/>
              <w:left w:w="200" w:type="dxa"/>
              <w:bottom w:w="120" w:type="dxa"/>
              <w:right w:w="100" w:type="dxa"/>
            </w:tcMar>
          </w:tcPr>
          <w:p w14:paraId="58CAD973" w14:textId="44EC6822" w:rsidR="00FF7A51" w:rsidRDefault="00FF7A51" w:rsidP="008A5513">
            <w:pPr>
              <w:spacing w:line="276" w:lineRule="auto"/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MIB1302 English Communication Skills for International </w:t>
            </w:r>
            <w:r w:rsidR="002158A5">
              <w:rPr>
                <w:rFonts w:cs="Arial"/>
                <w:b/>
                <w:bCs/>
                <w:color w:val="FFFFFF"/>
                <w:sz w:val="18"/>
                <w:szCs w:val="18"/>
              </w:rPr>
              <w:t>Business</w:t>
            </w:r>
          </w:p>
          <w:p w14:paraId="7904F5B4" w14:textId="0DA1B0AB" w:rsidR="00FF7A51" w:rsidRDefault="00FF7A51" w:rsidP="008A5513">
            <w:pPr>
              <w:spacing w:line="276" w:lineRule="auto"/>
            </w:pPr>
            <w:r>
              <w:rPr>
                <w:rFonts w:cs="Arial"/>
                <w:b/>
                <w:bCs/>
                <w:color w:val="E8A020"/>
              </w:rPr>
              <w:t>Assignment 2: Visual Design</w:t>
            </w:r>
          </w:p>
        </w:tc>
        <w:tc>
          <w:tcPr>
            <w:tcW w:w="1432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20" w:type="dxa"/>
              <w:left w:w="100" w:type="dxa"/>
              <w:bottom w:w="120" w:type="dxa"/>
              <w:right w:w="200" w:type="dxa"/>
            </w:tcMar>
            <w:vAlign w:val="center"/>
          </w:tcPr>
          <w:p w14:paraId="4E52EDEE" w14:textId="77777777" w:rsidR="00FF7A51" w:rsidRDefault="00FF7A51" w:rsidP="008A5513">
            <w:pPr>
              <w:spacing w:line="276" w:lineRule="auto"/>
              <w:jc w:val="right"/>
            </w:pPr>
            <w:r>
              <w:rPr>
                <w:rFonts w:cs="Arial"/>
                <w:color w:val="D6E4F7"/>
                <w:sz w:val="18"/>
                <w:szCs w:val="18"/>
              </w:rPr>
              <w:t>Week 6  |  CLO2</w:t>
            </w:r>
          </w:p>
          <w:p w14:paraId="5E7EA0BF" w14:textId="0F033D75" w:rsidR="00FF7A51" w:rsidRDefault="00FF7A51" w:rsidP="008A5513">
            <w:pPr>
              <w:spacing w:line="276" w:lineRule="auto"/>
              <w:jc w:val="right"/>
            </w:pPr>
            <w:r>
              <w:rPr>
                <w:rFonts w:cs="Arial"/>
                <w:b/>
                <w:bCs/>
                <w:color w:val="E8A020"/>
                <w:sz w:val="20"/>
                <w:szCs w:val="20"/>
              </w:rPr>
              <w:t>5% of Course Grade</w:t>
            </w:r>
          </w:p>
        </w:tc>
      </w:tr>
    </w:tbl>
    <w:p w14:paraId="263A399D" w14:textId="77777777" w:rsidR="00FF7A51" w:rsidRDefault="00FF7A51" w:rsidP="008A5513">
      <w:pPr>
        <w:spacing w:line="276" w:lineRule="auto"/>
      </w:pPr>
    </w:p>
    <w:p w14:paraId="21E5A9F8" w14:textId="1B497FC9" w:rsidR="00FF7A51" w:rsidRPr="00FF7A51" w:rsidRDefault="00FF7A51" w:rsidP="008A5513">
      <w:pPr>
        <w:pStyle w:val="Heading2"/>
      </w:pPr>
      <w:r w:rsidRPr="00FF7A51">
        <w:t>Assignment Instruction</w:t>
      </w:r>
    </w:p>
    <w:p w14:paraId="49D566D2" w14:textId="3AF85D83" w:rsidR="00FF7A51" w:rsidRDefault="007315C1" w:rsidP="00A272F0">
      <w:pPr>
        <w:spacing w:line="276" w:lineRule="auto"/>
        <w:jc w:val="thaiDistribute"/>
      </w:pPr>
      <w:r>
        <w:t xml:space="preserve">Use ‘data visualization’ </w:t>
      </w:r>
      <w:r w:rsidR="003028ED">
        <w:t xml:space="preserve">to transform a raw business data to a professional, visually compelling presentation. You will </w:t>
      </w:r>
      <w:r w:rsidR="00692EEA">
        <w:t xml:space="preserve">get a detaset from a fictional international company, NovaTech Global Ltd., </w:t>
      </w:r>
      <w:r w:rsidR="007D2C5D">
        <w:t>and create charts presenting that data.</w:t>
      </w:r>
    </w:p>
    <w:p w14:paraId="2390C4F6" w14:textId="77777777" w:rsidR="007B7C3A" w:rsidRDefault="007B7C3A" w:rsidP="008A5513">
      <w:pPr>
        <w:spacing w:line="276" w:lineRule="auto"/>
      </w:pPr>
    </w:p>
    <w:p w14:paraId="32274979" w14:textId="503148DA" w:rsidR="005A5FA7" w:rsidRPr="005A5FA7" w:rsidRDefault="005A5FA7" w:rsidP="005A5FA7">
      <w:pPr>
        <w:spacing w:line="360" w:lineRule="auto"/>
      </w:pPr>
      <w:r w:rsidRPr="00195E61">
        <w:rPr>
          <w:rFonts w:cs="Arial"/>
          <w:b/>
          <w:bCs/>
          <w:color w:val="1B3A6B"/>
          <w:sz w:val="24"/>
          <w:szCs w:val="24"/>
        </w:rPr>
        <w:t>Task type:</w:t>
      </w:r>
      <w:r>
        <w:t xml:space="preserve"> 3 persons/group</w:t>
      </w:r>
    </w:p>
    <w:p w14:paraId="65CECBE2" w14:textId="571DED59" w:rsidR="007B7C3A" w:rsidRDefault="006F2582" w:rsidP="005A5FA7">
      <w:pPr>
        <w:spacing w:line="360" w:lineRule="auto"/>
      </w:pPr>
      <w:r w:rsidRPr="00195E61">
        <w:rPr>
          <w:rFonts w:cs="Arial"/>
          <w:b/>
          <w:bCs/>
          <w:color w:val="1B3A6B"/>
          <w:sz w:val="24"/>
          <w:szCs w:val="24"/>
        </w:rPr>
        <w:t>Weight:</w:t>
      </w:r>
      <w:r>
        <w:t xml:space="preserve"> 5% of course grade</w:t>
      </w:r>
    </w:p>
    <w:p w14:paraId="75E5722D" w14:textId="59DED290" w:rsidR="00BE505A" w:rsidRDefault="00BE505A" w:rsidP="005A5FA7">
      <w:pPr>
        <w:spacing w:line="360" w:lineRule="auto"/>
      </w:pPr>
      <w:r w:rsidRPr="00195E61">
        <w:rPr>
          <w:rFonts w:cs="Arial"/>
          <w:b/>
          <w:bCs/>
          <w:color w:val="1B3A6B"/>
          <w:sz w:val="24"/>
          <w:szCs w:val="24"/>
        </w:rPr>
        <w:t>Tool:</w:t>
      </w:r>
      <w:r>
        <w:t xml:space="preserve"> Canva, Microsoft Word or Excel</w:t>
      </w:r>
      <w:r w:rsidR="006F5A57">
        <w:t>, or other visualization tools</w:t>
      </w:r>
    </w:p>
    <w:p w14:paraId="10F9E8AC" w14:textId="01DD6C20" w:rsidR="006F2582" w:rsidRDefault="006F2582" w:rsidP="005A5FA7">
      <w:pPr>
        <w:spacing w:line="360" w:lineRule="auto"/>
      </w:pPr>
      <w:r w:rsidRPr="00195E61">
        <w:rPr>
          <w:rFonts w:cs="Arial"/>
          <w:b/>
          <w:bCs/>
          <w:color w:val="1B3A6B"/>
          <w:sz w:val="24"/>
          <w:szCs w:val="24"/>
        </w:rPr>
        <w:t>Submission Format:</w:t>
      </w:r>
      <w:r>
        <w:t xml:space="preserve"> </w:t>
      </w:r>
      <w:r w:rsidR="008A5513">
        <w:t xml:space="preserve">save it as PDF and </w:t>
      </w:r>
      <w:r w:rsidR="003370BD">
        <w:t xml:space="preserve">upload to my Google Drive: </w:t>
      </w:r>
      <w:hyperlink r:id="rId4" w:history="1">
        <w:r w:rsidR="008D7684" w:rsidRPr="00696574">
          <w:rPr>
            <w:rStyle w:val="Hyperlink"/>
          </w:rPr>
          <w:t>https://drive.google.com/drive/folders/1yhxpCU5UsVHMaf4m1Co-VJ8sQwJlN4Nu?usp=sharing</w:t>
        </w:r>
      </w:hyperlink>
    </w:p>
    <w:p w14:paraId="00787670" w14:textId="48D33EA7" w:rsidR="008D7684" w:rsidRPr="00E2074D" w:rsidRDefault="00B85AD1" w:rsidP="005A5FA7">
      <w:pPr>
        <w:spacing w:line="360" w:lineRule="auto"/>
        <w:rPr>
          <w:rFonts w:cs="Arial"/>
          <w:b/>
          <w:bCs/>
          <w:color w:val="EE0000"/>
          <w:sz w:val="24"/>
          <w:szCs w:val="24"/>
        </w:rPr>
      </w:pPr>
      <w:r w:rsidRPr="00E2074D">
        <w:rPr>
          <w:rFonts w:cs="Arial"/>
          <w:b/>
          <w:bCs/>
          <w:color w:val="1B3A6B"/>
          <w:sz w:val="24"/>
          <w:szCs w:val="24"/>
        </w:rPr>
        <w:t xml:space="preserve">Submission Date: </w:t>
      </w:r>
      <w:r w:rsidR="00E2074D" w:rsidRPr="00E2074D">
        <w:rPr>
          <w:rFonts w:cs="Arial"/>
          <w:b/>
          <w:bCs/>
          <w:color w:val="EE0000"/>
          <w:sz w:val="24"/>
          <w:szCs w:val="24"/>
        </w:rPr>
        <w:t>1</w:t>
      </w:r>
      <w:r w:rsidR="00E2074D" w:rsidRPr="00E2074D">
        <w:rPr>
          <w:rFonts w:cs="Arial"/>
          <w:b/>
          <w:bCs/>
          <w:color w:val="EE0000"/>
          <w:sz w:val="24"/>
          <w:szCs w:val="24"/>
          <w:vertAlign w:val="superscript"/>
        </w:rPr>
        <w:t>st</w:t>
      </w:r>
      <w:r w:rsidR="00E2074D" w:rsidRPr="00E2074D">
        <w:rPr>
          <w:rFonts w:cs="Arial"/>
          <w:b/>
          <w:bCs/>
          <w:color w:val="EE0000"/>
          <w:sz w:val="24"/>
          <w:szCs w:val="24"/>
        </w:rPr>
        <w:t xml:space="preserve"> April 2026 by 16.00</w:t>
      </w:r>
    </w:p>
    <w:p w14:paraId="3413F390" w14:textId="77777777" w:rsidR="00361273" w:rsidRPr="00E2074D" w:rsidRDefault="00361273" w:rsidP="005A5FA7">
      <w:pPr>
        <w:spacing w:line="360" w:lineRule="auto"/>
        <w:rPr>
          <w:color w:val="EE0000"/>
        </w:rPr>
      </w:pPr>
    </w:p>
    <w:p w14:paraId="60BA5FA8" w14:textId="240F25A1" w:rsidR="00FF7A51" w:rsidRDefault="00361273" w:rsidP="008A5513">
      <w:pPr>
        <w:pStyle w:val="Heading2"/>
      </w:pPr>
      <w:r>
        <w:t xml:space="preserve">A. </w:t>
      </w:r>
      <w:r w:rsidR="00FF7A51">
        <w:t>Company Background — NovaTech Global Ltd.</w:t>
      </w:r>
    </w:p>
    <w:tbl>
      <w:tblPr>
        <w:tblW w:w="5000" w:type="pct"/>
        <w:tblBorders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F7A51" w14:paraId="094896F4" w14:textId="77777777" w:rsidTr="00361273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5E0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8F49016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b/>
                <w:bCs/>
                <w:color w:val="FFFFFF"/>
              </w:rPr>
              <w:t>About NovaTech Global Ltd.</w:t>
            </w:r>
          </w:p>
        </w:tc>
      </w:tr>
      <w:tr w:rsidR="00FF7A51" w14:paraId="173525CA" w14:textId="77777777" w:rsidTr="00361273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3D8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0D3C4E4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21"/>
                <w:szCs w:val="21"/>
              </w:rPr>
              <w:t>Industry:        Consumer Electronics &amp; Smart Technology</w:t>
            </w:r>
          </w:p>
        </w:tc>
      </w:tr>
      <w:tr w:rsidR="00FF7A51" w14:paraId="6AB90DB0" w14:textId="77777777" w:rsidTr="00361273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3D8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CF76A61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21"/>
                <w:szCs w:val="21"/>
              </w:rPr>
              <w:t>Headquarters:    Singapore (Regional HQ: Dubai, Warsaw, São Paulo)</w:t>
            </w:r>
          </w:p>
        </w:tc>
      </w:tr>
      <w:tr w:rsidR="00FF7A51" w14:paraId="69233E2F" w14:textId="77777777" w:rsidTr="00361273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3D8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84EFBEB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21"/>
                <w:szCs w:val="21"/>
              </w:rPr>
              <w:t>Founded:         2011  |  Employees: 4,800+  |  Markets: 42 countries</w:t>
            </w:r>
          </w:p>
        </w:tc>
      </w:tr>
      <w:tr w:rsidR="00FF7A51" w14:paraId="3DC6AA3A" w14:textId="77777777" w:rsidTr="00361273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3D8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8158CC9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21"/>
                <w:szCs w:val="21"/>
              </w:rPr>
              <w:t>Fiscal Year:     January – December</w:t>
            </w:r>
          </w:p>
        </w:tc>
      </w:tr>
      <w:tr w:rsidR="00FF7A51" w14:paraId="23BABDD3" w14:textId="77777777" w:rsidTr="00361273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3D8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97D372F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21"/>
                <w:szCs w:val="21"/>
              </w:rPr>
              <w:t>Reporting Year:  2024  |  Base Currency: USD</w:t>
            </w:r>
          </w:p>
        </w:tc>
      </w:tr>
      <w:tr w:rsidR="00FF7A51" w14:paraId="7D4DE958" w14:textId="77777777" w:rsidTr="00361273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3D8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E110086" w14:textId="77777777" w:rsidR="00FF7A51" w:rsidRDefault="00FF7A51" w:rsidP="008A5513">
            <w:pPr>
              <w:spacing w:line="276" w:lineRule="auto"/>
            </w:pPr>
          </w:p>
        </w:tc>
      </w:tr>
      <w:tr w:rsidR="00FF7A51" w14:paraId="165D79EC" w14:textId="77777777" w:rsidTr="00361273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3D8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0FDDEEA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21"/>
                <w:szCs w:val="21"/>
              </w:rPr>
              <w:t>Company Mission: "Connecting people through smart, accessible, and sustainable technology."</w:t>
            </w:r>
          </w:p>
        </w:tc>
      </w:tr>
      <w:tr w:rsidR="00FF7A51" w14:paraId="77F7E9B5" w14:textId="77777777" w:rsidTr="00361273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3D8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B1B0E15" w14:textId="77777777" w:rsidR="00FF7A51" w:rsidRDefault="00FF7A51" w:rsidP="008A5513">
            <w:pPr>
              <w:spacing w:line="276" w:lineRule="auto"/>
            </w:pPr>
          </w:p>
        </w:tc>
      </w:tr>
      <w:tr w:rsidR="00FF7A51" w14:paraId="7B5D6FF1" w14:textId="77777777" w:rsidTr="00361273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3D8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CCDB9CA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21"/>
                <w:szCs w:val="21"/>
              </w:rPr>
              <w:t>NovaTech is presenting its 2024 Annual Performance Report to international investors and</w:t>
            </w:r>
          </w:p>
        </w:tc>
      </w:tr>
      <w:tr w:rsidR="00FF7A51" w14:paraId="6E98AE1E" w14:textId="77777777" w:rsidTr="00361273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3D8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A9C709A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21"/>
                <w:szCs w:val="21"/>
              </w:rPr>
              <w:t>regional partners at the Asia-Pacific Business Summit in Bangkok (March 2026).</w:t>
            </w:r>
          </w:p>
        </w:tc>
      </w:tr>
      <w:tr w:rsidR="00FF7A51" w:rsidRPr="00361273" w14:paraId="661300DA" w14:textId="77777777" w:rsidTr="00361273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3D8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25C9D7F" w14:textId="23ADC862" w:rsidR="00FF7A51" w:rsidRPr="00361273" w:rsidRDefault="00FF7A51" w:rsidP="008A5513">
            <w:pPr>
              <w:spacing w:line="276" w:lineRule="auto"/>
              <w:rPr>
                <w:color w:val="156082" w:themeColor="accent1"/>
                <w:sz w:val="28"/>
                <w:szCs w:val="28"/>
              </w:rPr>
            </w:pPr>
            <w:r w:rsidRPr="00361273">
              <w:rPr>
                <w:rFonts w:cs="Arial"/>
                <w:b/>
                <w:bCs/>
                <w:color w:val="156082" w:themeColor="accent1"/>
                <w:sz w:val="28"/>
                <w:szCs w:val="28"/>
              </w:rPr>
              <w:t>Your task:</w:t>
            </w:r>
            <w:r w:rsidRPr="00361273">
              <w:rPr>
                <w:rFonts w:cs="Arial"/>
                <w:color w:val="156082" w:themeColor="accent1"/>
                <w:sz w:val="28"/>
                <w:szCs w:val="28"/>
              </w:rPr>
              <w:t xml:space="preserve"> design </w:t>
            </w:r>
            <w:r w:rsidR="00361273" w:rsidRPr="00361273">
              <w:rPr>
                <w:rFonts w:cs="Arial"/>
                <w:color w:val="156082" w:themeColor="accent1"/>
                <w:sz w:val="28"/>
                <w:szCs w:val="28"/>
              </w:rPr>
              <w:t>4</w:t>
            </w:r>
            <w:r w:rsidRPr="00361273">
              <w:rPr>
                <w:rFonts w:cs="Arial"/>
                <w:color w:val="156082" w:themeColor="accent1"/>
                <w:sz w:val="28"/>
                <w:szCs w:val="28"/>
              </w:rPr>
              <w:t xml:space="preserve"> </w:t>
            </w:r>
            <w:r w:rsidR="00361273" w:rsidRPr="00361273">
              <w:rPr>
                <w:rFonts w:cs="Arial"/>
                <w:color w:val="156082" w:themeColor="accent1"/>
                <w:sz w:val="28"/>
                <w:szCs w:val="28"/>
              </w:rPr>
              <w:t>charts</w:t>
            </w:r>
            <w:r w:rsidR="00A272F0">
              <w:rPr>
                <w:rFonts w:cs="Arial"/>
                <w:color w:val="156082" w:themeColor="accent1"/>
                <w:sz w:val="28"/>
                <w:szCs w:val="28"/>
              </w:rPr>
              <w:t xml:space="preserve"> as well as its description</w:t>
            </w:r>
            <w:r w:rsidR="00361273" w:rsidRPr="00361273">
              <w:rPr>
                <w:rFonts w:cs="Arial"/>
                <w:color w:val="156082" w:themeColor="accent1"/>
                <w:sz w:val="28"/>
                <w:szCs w:val="28"/>
              </w:rPr>
              <w:t xml:space="preserve"> for each dataset.</w:t>
            </w:r>
          </w:p>
        </w:tc>
      </w:tr>
    </w:tbl>
    <w:p w14:paraId="0214A4CF" w14:textId="77777777" w:rsidR="00FF7A51" w:rsidRDefault="00FF7A51" w:rsidP="008A5513">
      <w:pPr>
        <w:spacing w:after="240" w:line="276" w:lineRule="auto"/>
      </w:pPr>
    </w:p>
    <w:p w14:paraId="118614F9" w14:textId="77777777" w:rsidR="00A272F0" w:rsidRDefault="00A272F0" w:rsidP="008A5513">
      <w:pPr>
        <w:pStyle w:val="Heading2"/>
      </w:pPr>
    </w:p>
    <w:p w14:paraId="145307F0" w14:textId="77777777" w:rsidR="00A272F0" w:rsidRDefault="00A272F0" w:rsidP="008A5513">
      <w:pPr>
        <w:pStyle w:val="Heading2"/>
      </w:pPr>
    </w:p>
    <w:p w14:paraId="6D03451B" w14:textId="5FDF4B27" w:rsidR="00FF7A51" w:rsidRDefault="00361273" w:rsidP="008A5513">
      <w:pPr>
        <w:pStyle w:val="Heading2"/>
      </w:pPr>
      <w:r>
        <w:lastRenderedPageBreak/>
        <w:t>B</w:t>
      </w:r>
      <w:r w:rsidR="00FF7A51">
        <w:t>. Sample Data Sets</w:t>
      </w:r>
    </w:p>
    <w:p w14:paraId="317F0796" w14:textId="50D65F63" w:rsidR="00FF7A51" w:rsidRDefault="00FF7A51" w:rsidP="00A272F0">
      <w:pPr>
        <w:spacing w:before="60" w:after="60" w:line="276" w:lineRule="auto"/>
        <w:jc w:val="thaiDistribute"/>
      </w:pPr>
      <w:r>
        <w:rPr>
          <w:rFonts w:cs="Arial"/>
          <w:color w:val="000000"/>
        </w:rPr>
        <w:t xml:space="preserve">The following four data sets are your raw material. Use these numbers to design your </w:t>
      </w:r>
      <w:r w:rsidR="00A272F0">
        <w:rPr>
          <w:rFonts w:cs="Arial"/>
          <w:color w:val="000000"/>
        </w:rPr>
        <w:t>charts</w:t>
      </w:r>
      <w:r>
        <w:rPr>
          <w:rFonts w:cs="Arial"/>
          <w:color w:val="000000"/>
        </w:rPr>
        <w:t xml:space="preserve">. Do NOT just paste tables into your </w:t>
      </w:r>
      <w:r w:rsidR="00DB40F9">
        <w:rPr>
          <w:rFonts w:cs="Arial"/>
          <w:color w:val="000000"/>
        </w:rPr>
        <w:t>document</w:t>
      </w:r>
      <w:r>
        <w:rPr>
          <w:rFonts w:cs="Arial"/>
          <w:color w:val="000000"/>
        </w:rPr>
        <w:t xml:space="preserve"> — visualize, highlight, and design the data.</w:t>
      </w:r>
    </w:p>
    <w:p w14:paraId="7152C9C0" w14:textId="77777777" w:rsidR="00FF7A51" w:rsidRDefault="00FF7A51" w:rsidP="008A5513">
      <w:pPr>
        <w:spacing w:after="120" w:line="276" w:lineRule="auto"/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1"/>
        <w:gridCol w:w="1530"/>
        <w:gridCol w:w="1530"/>
        <w:gridCol w:w="1530"/>
        <w:gridCol w:w="1530"/>
        <w:gridCol w:w="1040"/>
      </w:tblGrid>
      <w:tr w:rsidR="00FF7A51" w14:paraId="38FB871A" w14:textId="77777777" w:rsidTr="00D63D65">
        <w:tc>
          <w:tcPr>
            <w:tcW w:w="9360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A02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012B6CD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b/>
                <w:bCs/>
                <w:color w:val="FFFFFF"/>
              </w:rPr>
              <w:t>Dataset 1: Annual Revenue by Region (2024)</w:t>
            </w:r>
          </w:p>
        </w:tc>
      </w:tr>
      <w:tr w:rsidR="00FF7A51" w14:paraId="455271EE" w14:textId="77777777" w:rsidTr="00D63D65">
        <w:trPr>
          <w:tblHeader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7A6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058BD3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Region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7A6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D1DDA5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Q1 (Jan–Mar)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7A6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30BB10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Q2 (Apr–Jun)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7A6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853087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Q3 (Jul–Sep)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7A6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A36B1C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Q4 (Oct–Dec)</w:t>
            </w:r>
          </w:p>
        </w:tc>
        <w:tc>
          <w:tcPr>
            <w:tcW w:w="1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7A6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50D042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Annual Total</w:t>
            </w:r>
          </w:p>
        </w:tc>
      </w:tr>
      <w:tr w:rsidR="00FF7A51" w14:paraId="24B7A37D" w14:textId="77777777" w:rsidTr="00D63D65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E99E44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Southeast Asia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695245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$4.2M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860A6B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$5.1M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4A6D30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$6.3M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4B7466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$7.8M</w:t>
            </w:r>
          </w:p>
        </w:tc>
        <w:tc>
          <w:tcPr>
            <w:tcW w:w="1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BD3C1C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1A7A6E"/>
                <w:sz w:val="19"/>
                <w:szCs w:val="19"/>
              </w:rPr>
              <w:t>$23.4M</w:t>
            </w:r>
          </w:p>
        </w:tc>
      </w:tr>
      <w:tr w:rsidR="00FF7A51" w14:paraId="0B414F8F" w14:textId="77777777" w:rsidTr="00D63D65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07B76C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East Asia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1468E0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$6.8M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082D85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$7.4M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C7207B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$7.1M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35EE5E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$9.2M</w:t>
            </w:r>
          </w:p>
        </w:tc>
        <w:tc>
          <w:tcPr>
            <w:tcW w:w="1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066444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1A7A6E"/>
                <w:sz w:val="19"/>
                <w:szCs w:val="19"/>
              </w:rPr>
              <w:t>$30.5M</w:t>
            </w:r>
          </w:p>
        </w:tc>
      </w:tr>
      <w:tr w:rsidR="00FF7A51" w14:paraId="45012514" w14:textId="77777777" w:rsidTr="00D63D65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95E608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South Asia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A6ACE2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$2.1M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4303C2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$2.6M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F42962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$3.4M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E44A7A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$4.1M</w:t>
            </w:r>
          </w:p>
        </w:tc>
        <w:tc>
          <w:tcPr>
            <w:tcW w:w="1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09F4CD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1A7A6E"/>
                <w:sz w:val="19"/>
                <w:szCs w:val="19"/>
              </w:rPr>
              <w:t>$12.2M</w:t>
            </w:r>
          </w:p>
        </w:tc>
      </w:tr>
      <w:tr w:rsidR="00FF7A51" w14:paraId="6AB6F5A7" w14:textId="77777777" w:rsidTr="00D63D65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F84A7A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Europe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4E1ED5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$5.5M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01BC87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$5.9M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AA5723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$6.2M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DDE096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$6.8M</w:t>
            </w:r>
          </w:p>
        </w:tc>
        <w:tc>
          <w:tcPr>
            <w:tcW w:w="1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FDB288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1A7A6E"/>
                <w:sz w:val="19"/>
                <w:szCs w:val="19"/>
              </w:rPr>
              <w:t>$24.4M</w:t>
            </w:r>
          </w:p>
        </w:tc>
      </w:tr>
      <w:tr w:rsidR="00FF7A51" w14:paraId="78985ABB" w14:textId="77777777" w:rsidTr="00D63D65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FAF73D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North America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EBA465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$8.3M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0E8A3D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$9.1M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DA0DF1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$8.7M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55B0D7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$11.4M</w:t>
            </w:r>
          </w:p>
        </w:tc>
        <w:tc>
          <w:tcPr>
            <w:tcW w:w="1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6DFD39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1A7A6E"/>
                <w:sz w:val="19"/>
                <w:szCs w:val="19"/>
              </w:rPr>
              <w:t>$37.5M</w:t>
            </w:r>
          </w:p>
        </w:tc>
      </w:tr>
      <w:tr w:rsidR="00FF7A51" w14:paraId="796A213F" w14:textId="77777777" w:rsidTr="00D63D65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DDAEC6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Middle East &amp; Africa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86988D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$1.4M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974305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$1.8M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F302F1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$2.3M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C48F39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$2.9M</w:t>
            </w:r>
          </w:p>
        </w:tc>
        <w:tc>
          <w:tcPr>
            <w:tcW w:w="1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B755FA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1A7A6E"/>
                <w:sz w:val="19"/>
                <w:szCs w:val="19"/>
              </w:rPr>
              <w:t>$8.4M</w:t>
            </w:r>
          </w:p>
        </w:tc>
      </w:tr>
      <w:tr w:rsidR="00FF7A51" w14:paraId="13179363" w14:textId="77777777" w:rsidTr="00D63D65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8A6E63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TOTAL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B9B997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$28.3M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117F71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$31.9M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52E4A0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$34.0M</w:t>
            </w:r>
          </w:p>
        </w:tc>
        <w:tc>
          <w:tcPr>
            <w:tcW w:w="1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19880B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$42.2M</w:t>
            </w:r>
          </w:p>
        </w:tc>
        <w:tc>
          <w:tcPr>
            <w:tcW w:w="10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84F780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$136.4M</w:t>
            </w:r>
          </w:p>
        </w:tc>
      </w:tr>
    </w:tbl>
    <w:p w14:paraId="0A7E050D" w14:textId="77777777" w:rsidR="00FF7A51" w:rsidRDefault="00FF7A51" w:rsidP="008A5513">
      <w:pPr>
        <w:spacing w:after="80" w:line="276" w:lineRule="auto"/>
      </w:pPr>
    </w:p>
    <w:p w14:paraId="1F946D29" w14:textId="77777777" w:rsidR="00FF7A51" w:rsidRDefault="00FF7A51" w:rsidP="008A5513">
      <w:pPr>
        <w:spacing w:before="60" w:after="60" w:line="276" w:lineRule="auto"/>
      </w:pPr>
      <w:r>
        <w:rPr>
          <w:rFonts w:cs="Arial"/>
          <w:i/>
          <w:iCs/>
          <w:color w:val="5A5A5A"/>
        </w:rPr>
        <w:t>Key Takeaway Note: NovaTech's strongest growth came from Southeast Asia (+38% YoY) and Wearables. Q4 consistently outperforms other quarters across all regions, likely due to holiday sales cycles.</w:t>
      </w:r>
    </w:p>
    <w:p w14:paraId="1C2C8288" w14:textId="77777777" w:rsidR="00FF7A51" w:rsidRDefault="00FF7A51" w:rsidP="008A5513">
      <w:pPr>
        <w:spacing w:after="200" w:line="276" w:lineRule="auto"/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1"/>
        <w:gridCol w:w="1520"/>
        <w:gridCol w:w="1520"/>
        <w:gridCol w:w="1520"/>
        <w:gridCol w:w="2000"/>
      </w:tblGrid>
      <w:tr w:rsidR="00FF7A51" w14:paraId="5A4A6C6D" w14:textId="77777777" w:rsidTr="00D63D65">
        <w:tc>
          <w:tcPr>
            <w:tcW w:w="9360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A02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2985D91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b/>
                <w:bCs/>
                <w:color w:val="FFFFFF"/>
              </w:rPr>
              <w:t>Dataset 2: Product Category Performance (2023 vs. 2024)</w:t>
            </w:r>
          </w:p>
        </w:tc>
      </w:tr>
      <w:tr w:rsidR="00FF7A51" w14:paraId="741500EE" w14:textId="77777777" w:rsidTr="00D63D65"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7ABDC2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Product Category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CE8788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2023 Revenue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322DE5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2024 Revenue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177A96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Growth 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C6C8DF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Top Market</w:t>
            </w:r>
          </w:p>
        </w:tc>
      </w:tr>
      <w:tr w:rsidR="00FF7A51" w14:paraId="214A72EE" w14:textId="77777777" w:rsidTr="00D63D65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D19635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Smart Home Devices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7C50BC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$18.2M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322233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$26.7M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56D991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1E8449"/>
                <w:sz w:val="19"/>
                <w:szCs w:val="19"/>
              </w:rPr>
              <w:t>▲ 46.7%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E55DC0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East Asia</w:t>
            </w:r>
          </w:p>
        </w:tc>
      </w:tr>
      <w:tr w:rsidR="00FF7A51" w14:paraId="64B4844E" w14:textId="77777777" w:rsidTr="00D63D65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27E8AE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Mobile Accessories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163B58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$22.5M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EF7A88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$29.1M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3C8BE5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1E8449"/>
                <w:sz w:val="19"/>
                <w:szCs w:val="19"/>
              </w:rPr>
              <w:t>▲ 29.3%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CFBDE3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North America</w:t>
            </w:r>
          </w:p>
        </w:tc>
      </w:tr>
      <w:tr w:rsidR="00FF7A51" w14:paraId="593E5E3E" w14:textId="77777777" w:rsidTr="00D63D65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44922D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Wearable Technology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A8D37D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$14.8M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C64818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$23.9M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C86090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1E8449"/>
                <w:sz w:val="19"/>
                <w:szCs w:val="19"/>
              </w:rPr>
              <w:t>▲ 61.5%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2D55B9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Europe</w:t>
            </w:r>
          </w:p>
        </w:tc>
      </w:tr>
      <w:tr w:rsidR="00FF7A51" w14:paraId="01221A5E" w14:textId="77777777" w:rsidTr="00D63D65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B247AA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Audio Equipment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74281C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$19.4M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33B4D4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$24.3M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AD1031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1E8449"/>
                <w:sz w:val="19"/>
                <w:szCs w:val="19"/>
              </w:rPr>
              <w:t>▲ 25.3%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530635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Southeast Asia</w:t>
            </w:r>
          </w:p>
        </w:tc>
      </w:tr>
      <w:tr w:rsidR="00FF7A51" w14:paraId="1DC8AF26" w14:textId="77777777" w:rsidTr="00D63D65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5A260C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Power Solutions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72600B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$11.6M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DB687C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$14.8M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446784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1E8449"/>
                <w:sz w:val="19"/>
                <w:szCs w:val="19"/>
              </w:rPr>
              <w:t>▲ 27.6%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440033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South Asia</w:t>
            </w:r>
          </w:p>
        </w:tc>
      </w:tr>
      <w:tr w:rsidR="00FF7A51" w14:paraId="07AE725E" w14:textId="77777777" w:rsidTr="00D63D65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F3F9A1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Enterprise Hardware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BC7180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$28.3M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5B1771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$17.6M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9EF8A8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C0392B"/>
                <w:sz w:val="19"/>
                <w:szCs w:val="19"/>
              </w:rPr>
              <w:t>▼ 37.8%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B61E20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North America</w:t>
            </w:r>
          </w:p>
        </w:tc>
      </w:tr>
      <w:tr w:rsidR="00FF7A51" w14:paraId="75DAE31F" w14:textId="77777777" w:rsidTr="00D63D65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66313A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TOTAL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7B56EF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$114.8M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C2F900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$136.4M</w:t>
            </w:r>
          </w:p>
        </w:tc>
        <w:tc>
          <w:tcPr>
            <w:tcW w:w="1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D7373D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▲ 18.8%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6EE883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—</w:t>
            </w:r>
          </w:p>
        </w:tc>
      </w:tr>
    </w:tbl>
    <w:p w14:paraId="69480DED" w14:textId="77777777" w:rsidR="00FF7A51" w:rsidRDefault="00FF7A51" w:rsidP="008A5513">
      <w:pPr>
        <w:spacing w:after="80" w:line="276" w:lineRule="auto"/>
      </w:pPr>
    </w:p>
    <w:p w14:paraId="0C4B2C12" w14:textId="77777777" w:rsidR="00FF7A51" w:rsidRDefault="00FF7A51" w:rsidP="008A5513">
      <w:pPr>
        <w:spacing w:before="60" w:after="60" w:line="276" w:lineRule="auto"/>
      </w:pPr>
      <w:r>
        <w:rPr>
          <w:rFonts w:cs="Arial"/>
          <w:i/>
          <w:iCs/>
          <w:color w:val="5A5A5A"/>
        </w:rPr>
        <w:t>Key Takeaway Note: Wearable Technology showed the highest growth (61.5%). Enterprise Hardware declined significantly — this is a strategic pivot the company needs to communicate carefully to investors.</w:t>
      </w:r>
    </w:p>
    <w:p w14:paraId="3AE66264" w14:textId="77777777" w:rsidR="00FF7A51" w:rsidRDefault="00FF7A51" w:rsidP="008A5513">
      <w:pPr>
        <w:spacing w:after="200" w:line="276" w:lineRule="auto"/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1"/>
        <w:gridCol w:w="1360"/>
        <w:gridCol w:w="1360"/>
        <w:gridCol w:w="1360"/>
        <w:gridCol w:w="2680"/>
      </w:tblGrid>
      <w:tr w:rsidR="00FF7A51" w14:paraId="07708779" w14:textId="77777777" w:rsidTr="00D63D65">
        <w:tc>
          <w:tcPr>
            <w:tcW w:w="9360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A02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359647B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b/>
                <w:bCs/>
                <w:color w:val="FFFFFF"/>
              </w:rPr>
              <w:lastRenderedPageBreak/>
              <w:t>Dataset 3: Customer Satisfaction Metrics (2022–2024)</w:t>
            </w:r>
          </w:p>
        </w:tc>
      </w:tr>
      <w:tr w:rsidR="00FF7A51" w14:paraId="7FC9BD40" w14:textId="77777777" w:rsidTr="00D63D65">
        <w:trPr>
          <w:tblHeader/>
        </w:trPr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5F8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7E24CF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Metric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5F8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56F13F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2022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5F8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71B26A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2023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5F8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D64CA5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2024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C5F8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47425D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Key Driver / Note</w:t>
            </w:r>
          </w:p>
        </w:tc>
      </w:tr>
      <w:tr w:rsidR="00FF7A51" w14:paraId="63A27D50" w14:textId="77777777" w:rsidTr="00D63D65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6E4DC9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Overall Satisfaction Score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AB1CDF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72%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7F4C70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76%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A42BB9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83%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2E132D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5A5A5A"/>
                <w:sz w:val="18"/>
                <w:szCs w:val="18"/>
              </w:rPr>
              <w:t>Improved after-sales support</w:t>
            </w:r>
          </w:p>
        </w:tc>
      </w:tr>
      <w:tr w:rsidR="00FF7A51" w14:paraId="3CF1B012" w14:textId="77777777" w:rsidTr="00D63D65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AE4957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Product Quality Rating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40824C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4.1/5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D36277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4.3/5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756CA9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4.6/5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D66BC9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5A5A5A"/>
                <w:sz w:val="18"/>
                <w:szCs w:val="18"/>
              </w:rPr>
              <w:t>New QC process launched Q2</w:t>
            </w:r>
          </w:p>
        </w:tc>
      </w:tr>
      <w:tr w:rsidR="00FF7A51" w14:paraId="3E36022C" w14:textId="77777777" w:rsidTr="00D63D65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FC8945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Delivery Satisfaction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2ADC21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68%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4BC371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74%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959DA4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81%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CD8361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5A5A5A"/>
                <w:sz w:val="18"/>
                <w:szCs w:val="18"/>
              </w:rPr>
              <w:t>New logistics partner in Asia</w:t>
            </w:r>
          </w:p>
        </w:tc>
      </w:tr>
      <w:tr w:rsidR="00FF7A51" w14:paraId="636DC4E1" w14:textId="77777777" w:rsidTr="00D63D65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FE14F9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Customer Support Rating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7756C6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3.8/5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4893E4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4.0/5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5E60E1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4.4/5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B7636B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5A5A5A"/>
                <w:sz w:val="18"/>
                <w:szCs w:val="18"/>
              </w:rPr>
              <w:t>Live chat introduced</w:t>
            </w:r>
          </w:p>
        </w:tc>
      </w:tr>
      <w:tr w:rsidR="00FF7A51" w14:paraId="1D796007" w14:textId="77777777" w:rsidTr="00D63D65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26D0BF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Would Recommend (NPS)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22DD2B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45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8B93C8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58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B165B3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71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978295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5A5A5A"/>
                <w:sz w:val="18"/>
                <w:szCs w:val="18"/>
              </w:rPr>
              <w:t>Industry benchmark: 50</w:t>
            </w:r>
          </w:p>
        </w:tc>
      </w:tr>
      <w:tr w:rsidR="00FF7A51" w14:paraId="5E681F17" w14:textId="77777777" w:rsidTr="00D63D65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65B479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Repeat Purchase Rate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C96E2E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38%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94CDF4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44%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ADCB0F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52%</w:t>
            </w:r>
          </w:p>
        </w:tc>
        <w:tc>
          <w:tcPr>
            <w:tcW w:w="2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53A183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5A5A5A"/>
                <w:sz w:val="18"/>
                <w:szCs w:val="18"/>
              </w:rPr>
              <w:t>Loyalty program launched Q3 '23</w:t>
            </w:r>
          </w:p>
        </w:tc>
      </w:tr>
    </w:tbl>
    <w:p w14:paraId="5B7DA2F9" w14:textId="77777777" w:rsidR="00FF7A51" w:rsidRDefault="00FF7A51" w:rsidP="008A5513">
      <w:pPr>
        <w:spacing w:after="80" w:line="276" w:lineRule="auto"/>
      </w:pPr>
    </w:p>
    <w:p w14:paraId="7DE220B1" w14:textId="77777777" w:rsidR="00FF7A51" w:rsidRDefault="00FF7A51" w:rsidP="008A5513">
      <w:pPr>
        <w:spacing w:before="60" w:after="60" w:line="276" w:lineRule="auto"/>
      </w:pPr>
      <w:r>
        <w:rPr>
          <w:rFonts w:cs="Arial"/>
          <w:i/>
          <w:iCs/>
          <w:color w:val="5A5A5A"/>
        </w:rPr>
        <w:t>Key Takeaway Note: All satisfaction metrics have improved year-over-year. The NPS score of 71 in 2024 significantly exceeds the industry benchmark of 50, demonstrating strong brand loyalty.</w:t>
      </w:r>
    </w:p>
    <w:p w14:paraId="670D1844" w14:textId="77777777" w:rsidR="00FF7A51" w:rsidRDefault="00FF7A51" w:rsidP="008A5513">
      <w:pPr>
        <w:spacing w:after="200" w:line="276" w:lineRule="auto"/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1"/>
        <w:gridCol w:w="1500"/>
        <w:gridCol w:w="1500"/>
        <w:gridCol w:w="1500"/>
        <w:gridCol w:w="2660"/>
      </w:tblGrid>
      <w:tr w:rsidR="00FF7A51" w14:paraId="5B944DCD" w14:textId="77777777" w:rsidTr="00D63D65">
        <w:tc>
          <w:tcPr>
            <w:tcW w:w="9360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A02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C68CD2E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b/>
                <w:bCs/>
                <w:color w:val="FFFFFF"/>
              </w:rPr>
              <w:t>Dataset 4: Market Expansion Targets (2025–2026)</w:t>
            </w:r>
          </w:p>
        </w:tc>
      </w:tr>
      <w:tr w:rsidR="00FF7A51" w14:paraId="0AECDD23" w14:textId="77777777" w:rsidTr="00D63D65">
        <w:trPr>
          <w:tblHeader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D5A8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1B1D1B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Country / Market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D5A8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388594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Market Size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D5A8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694068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Current Share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D5A8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D88DC2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Target Share (2026)</w:t>
            </w:r>
          </w:p>
        </w:tc>
        <w:tc>
          <w:tcPr>
            <w:tcW w:w="2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D5A8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C2F2E4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FFFFFF"/>
                <w:sz w:val="19"/>
                <w:szCs w:val="19"/>
              </w:rPr>
              <w:t>Entry Strategy</w:t>
            </w:r>
          </w:p>
        </w:tc>
      </w:tr>
      <w:tr w:rsidR="00FF7A51" w14:paraId="00C0A2CE" w14:textId="77777777" w:rsidTr="00D63D65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EC460E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Vietnam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4865B8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$2.8B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732D7E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1A7A6E"/>
                <w:sz w:val="19"/>
                <w:szCs w:val="19"/>
              </w:rPr>
              <w:t>3.2%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A518F6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1B3A6B"/>
                <w:sz w:val="19"/>
                <w:szCs w:val="19"/>
              </w:rPr>
              <w:t>8.0%</w:t>
            </w:r>
          </w:p>
        </w:tc>
        <w:tc>
          <w:tcPr>
            <w:tcW w:w="2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BB5534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8"/>
                <w:szCs w:val="18"/>
              </w:rPr>
              <w:t>Distribution partnership + e-commerce</w:t>
            </w:r>
          </w:p>
        </w:tc>
      </w:tr>
      <w:tr w:rsidR="00FF7A51" w14:paraId="7930C591" w14:textId="77777777" w:rsidTr="00D63D65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327680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India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F8F926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$18.5B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7AF45B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1A7A6E"/>
                <w:sz w:val="19"/>
                <w:szCs w:val="19"/>
              </w:rPr>
              <w:t>1.4%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FD20D2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1B3A6B"/>
                <w:sz w:val="19"/>
                <w:szCs w:val="19"/>
              </w:rPr>
              <w:t>4.5%</w:t>
            </w:r>
          </w:p>
        </w:tc>
        <w:tc>
          <w:tcPr>
            <w:tcW w:w="2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E1095B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8"/>
                <w:szCs w:val="18"/>
              </w:rPr>
              <w:t>Local manufacturing + retail chain deal</w:t>
            </w:r>
          </w:p>
        </w:tc>
      </w:tr>
      <w:tr w:rsidR="00FF7A51" w14:paraId="393876A5" w14:textId="77777777" w:rsidTr="00D63D65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183FE3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Saudi Arabia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57DD2D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$6.2B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CCEEE7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1A7A6E"/>
                <w:sz w:val="19"/>
                <w:szCs w:val="19"/>
              </w:rPr>
              <w:t>2.8%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F5C872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1B3A6B"/>
                <w:sz w:val="19"/>
                <w:szCs w:val="19"/>
              </w:rPr>
              <w:t>7.2%</w:t>
            </w:r>
          </w:p>
        </w:tc>
        <w:tc>
          <w:tcPr>
            <w:tcW w:w="2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177D8D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8"/>
                <w:szCs w:val="18"/>
              </w:rPr>
              <w:t>B2B enterprise contracts + showroom</w:t>
            </w:r>
          </w:p>
        </w:tc>
      </w:tr>
      <w:tr w:rsidR="00FF7A51" w14:paraId="54723705" w14:textId="77777777" w:rsidTr="00D63D65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2C6B7D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Brazil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246231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$11.4B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D7CC17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1A7A6E"/>
                <w:sz w:val="19"/>
                <w:szCs w:val="19"/>
              </w:rPr>
              <w:t>0.9%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BD637A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1B3A6B"/>
                <w:sz w:val="19"/>
                <w:szCs w:val="19"/>
              </w:rPr>
              <w:t>3.0%</w:t>
            </w:r>
          </w:p>
        </w:tc>
        <w:tc>
          <w:tcPr>
            <w:tcW w:w="2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9DFFFB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8"/>
                <w:szCs w:val="18"/>
              </w:rPr>
              <w:t>Regional distributor agreement</w:t>
            </w:r>
          </w:p>
        </w:tc>
      </w:tr>
      <w:tr w:rsidR="00FF7A51" w14:paraId="0B1D2E34" w14:textId="77777777" w:rsidTr="00D63D65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B5A358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Poland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48295C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$3.9B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675F5A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1A7A6E"/>
                <w:sz w:val="19"/>
                <w:szCs w:val="19"/>
              </w:rPr>
              <w:t>4.6%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C1CA9F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1B3A6B"/>
                <w:sz w:val="19"/>
                <w:szCs w:val="19"/>
              </w:rPr>
              <w:t>9.5%</w:t>
            </w:r>
          </w:p>
        </w:tc>
        <w:tc>
          <w:tcPr>
            <w:tcW w:w="2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0F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87282D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8"/>
                <w:szCs w:val="18"/>
              </w:rPr>
              <w:t>E-commerce + tech retail expansion</w:t>
            </w:r>
          </w:p>
        </w:tc>
      </w:tr>
      <w:tr w:rsidR="00FF7A51" w14:paraId="4CEA89D1" w14:textId="77777777" w:rsidTr="00D63D65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822AEC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9"/>
                <w:szCs w:val="19"/>
              </w:rPr>
              <w:t>Nigeria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B59C1E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19"/>
                <w:szCs w:val="19"/>
              </w:rPr>
              <w:t>$4.1B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32F274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1A7A6E"/>
                <w:sz w:val="19"/>
                <w:szCs w:val="19"/>
              </w:rPr>
              <w:t>0.4%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8C37E3" w14:textId="77777777" w:rsidR="00FF7A51" w:rsidRDefault="00FF7A51" w:rsidP="008A5513">
            <w:pPr>
              <w:spacing w:line="276" w:lineRule="auto"/>
              <w:jc w:val="center"/>
            </w:pPr>
            <w:r>
              <w:rPr>
                <w:rFonts w:cs="Arial"/>
                <w:b/>
                <w:bCs/>
                <w:color w:val="1B3A6B"/>
                <w:sz w:val="19"/>
                <w:szCs w:val="19"/>
              </w:rPr>
              <w:t>2.5%</w:t>
            </w:r>
          </w:p>
        </w:tc>
        <w:tc>
          <w:tcPr>
            <w:tcW w:w="2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48E0F1" w14:textId="77777777" w:rsidR="00FF7A51" w:rsidRDefault="00FF7A51" w:rsidP="008A5513">
            <w:pPr>
              <w:spacing w:line="276" w:lineRule="auto"/>
            </w:pPr>
            <w:r>
              <w:rPr>
                <w:rFonts w:cs="Arial"/>
                <w:color w:val="000000"/>
                <w:sz w:val="18"/>
                <w:szCs w:val="18"/>
              </w:rPr>
              <w:t>Mobile-first sales + local agent network</w:t>
            </w:r>
          </w:p>
        </w:tc>
      </w:tr>
    </w:tbl>
    <w:p w14:paraId="5CB5F1F6" w14:textId="77777777" w:rsidR="00FF7A51" w:rsidRDefault="00FF7A51" w:rsidP="008A5513">
      <w:pPr>
        <w:spacing w:after="80" w:line="276" w:lineRule="auto"/>
      </w:pPr>
    </w:p>
    <w:p w14:paraId="4B105ECE" w14:textId="77777777" w:rsidR="00FF7A51" w:rsidRDefault="00FF7A51" w:rsidP="008A5513">
      <w:pPr>
        <w:spacing w:before="60" w:after="60" w:line="276" w:lineRule="auto"/>
      </w:pPr>
      <w:r>
        <w:rPr>
          <w:rFonts w:cs="Arial"/>
          <w:i/>
          <w:iCs/>
          <w:color w:val="5A5A5A"/>
        </w:rPr>
        <w:t>Key Takeaway Note: NovaTech is targeting 6 new high-growth markets. India and Brazil offer the largest absolute growth potential. Vietnam and Poland show the fastest path to meaningful market share.</w:t>
      </w:r>
    </w:p>
    <w:p w14:paraId="458CFA55" w14:textId="77777777" w:rsidR="006B186C" w:rsidRDefault="006B186C" w:rsidP="008A5513">
      <w:pPr>
        <w:spacing w:line="276" w:lineRule="auto"/>
      </w:pPr>
    </w:p>
    <w:sectPr w:rsidR="006B18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51"/>
    <w:rsid w:val="000424FD"/>
    <w:rsid w:val="00101994"/>
    <w:rsid w:val="00195E61"/>
    <w:rsid w:val="001D0420"/>
    <w:rsid w:val="002158A5"/>
    <w:rsid w:val="002229EB"/>
    <w:rsid w:val="00273F77"/>
    <w:rsid w:val="002C0B2C"/>
    <w:rsid w:val="003028ED"/>
    <w:rsid w:val="00315272"/>
    <w:rsid w:val="003370BD"/>
    <w:rsid w:val="00361273"/>
    <w:rsid w:val="00373F93"/>
    <w:rsid w:val="003B7DCE"/>
    <w:rsid w:val="003D3712"/>
    <w:rsid w:val="004B7372"/>
    <w:rsid w:val="004E57EA"/>
    <w:rsid w:val="00546641"/>
    <w:rsid w:val="00547D7E"/>
    <w:rsid w:val="005A5FA7"/>
    <w:rsid w:val="00692EEA"/>
    <w:rsid w:val="006B186C"/>
    <w:rsid w:val="006F2582"/>
    <w:rsid w:val="006F5A57"/>
    <w:rsid w:val="007315C1"/>
    <w:rsid w:val="007B7C3A"/>
    <w:rsid w:val="007D2C5D"/>
    <w:rsid w:val="008739C4"/>
    <w:rsid w:val="00876E84"/>
    <w:rsid w:val="008A5513"/>
    <w:rsid w:val="008D7684"/>
    <w:rsid w:val="009267F6"/>
    <w:rsid w:val="00A03975"/>
    <w:rsid w:val="00A272F0"/>
    <w:rsid w:val="00A90953"/>
    <w:rsid w:val="00AA4C2F"/>
    <w:rsid w:val="00AC0EAF"/>
    <w:rsid w:val="00AD648D"/>
    <w:rsid w:val="00B525D2"/>
    <w:rsid w:val="00B85AD1"/>
    <w:rsid w:val="00BE505A"/>
    <w:rsid w:val="00CD0FE4"/>
    <w:rsid w:val="00D63D65"/>
    <w:rsid w:val="00D74C94"/>
    <w:rsid w:val="00D8486C"/>
    <w:rsid w:val="00D8574A"/>
    <w:rsid w:val="00DB40F9"/>
    <w:rsid w:val="00DE10CB"/>
    <w:rsid w:val="00E2074D"/>
    <w:rsid w:val="00E377C2"/>
    <w:rsid w:val="00ED2D0F"/>
    <w:rsid w:val="00F438D1"/>
    <w:rsid w:val="00FF739C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5DE2"/>
  <w15:chartTrackingRefBased/>
  <w15:docId w15:val="{7CB2FB8D-31C1-C344-A310-9AF1B071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Arial" w:hAnsi="TH SarabunPSK" w:cs="TH SarabunPSK"/>
        <w:sz w:val="28"/>
        <w:szCs w:val="28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A51"/>
    <w:rPr>
      <w:rFonts w:ascii="Arial" w:hAnsi="Arial" w:cs="Angsana New"/>
      <w:sz w:val="22"/>
      <w:szCs w:val="22"/>
    </w:rPr>
  </w:style>
  <w:style w:type="paragraph" w:styleId="Heading1">
    <w:name w:val="heading 1"/>
    <w:next w:val="Normal"/>
    <w:link w:val="Heading1Char"/>
    <w:autoRedefine/>
    <w:uiPriority w:val="9"/>
    <w:qFormat/>
    <w:rsid w:val="00547D7E"/>
    <w:pPr>
      <w:keepNext/>
      <w:keepLines/>
      <w:spacing w:after="160" w:line="276" w:lineRule="auto"/>
      <w:jc w:val="center"/>
      <w:outlineLvl w:val="0"/>
    </w:pPr>
    <w:rPr>
      <w:rFonts w:eastAsiaTheme="majorEastAsia"/>
      <w:b/>
      <w:bCs/>
      <w:color w:val="262626" w:themeColor="text1" w:themeTint="D9"/>
      <w:sz w:val="72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FF7A51"/>
    <w:pPr>
      <w:pBdr>
        <w:bottom w:val="single" w:sz="8" w:space="4" w:color="E8A020"/>
      </w:pBdr>
      <w:spacing w:after="160" w:line="276" w:lineRule="auto"/>
      <w:outlineLvl w:val="1"/>
    </w:pPr>
    <w:rPr>
      <w:rFonts w:ascii="Arial" w:hAnsi="Arial" w:cs="Arial"/>
      <w:b/>
      <w:bCs/>
      <w:color w:val="1B3A6B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A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A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A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A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A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A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A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D7E"/>
    <w:rPr>
      <w:rFonts w:eastAsiaTheme="majorEastAsia"/>
      <w:b/>
      <w:bCs/>
      <w:color w:val="262626" w:themeColor="text1" w:themeTint="D9"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qFormat/>
    <w:rsid w:val="00547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47D7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Heading2Char">
    <w:name w:val="Heading 2 Char"/>
    <w:basedOn w:val="DefaultParagraphFont"/>
    <w:link w:val="Heading2"/>
    <w:uiPriority w:val="9"/>
    <w:rsid w:val="00FF7A51"/>
    <w:rPr>
      <w:rFonts w:ascii="Arial" w:hAnsi="Arial" w:cs="Arial"/>
      <w:b/>
      <w:bCs/>
      <w:color w:val="1B3A6B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47D7E"/>
    <w:rPr>
      <w:rFonts w:eastAsiaTheme="minorEastAsia"/>
      <w:color w:val="000000" w:themeColor="text1"/>
      <w:lang w:val="en-US"/>
    </w:rPr>
  </w:style>
  <w:style w:type="paragraph" w:styleId="TOC1">
    <w:name w:val="toc 1"/>
    <w:basedOn w:val="Heading1"/>
    <w:next w:val="Normal"/>
    <w:autoRedefine/>
    <w:uiPriority w:val="39"/>
    <w:rsid w:val="00876E84"/>
    <w:pPr>
      <w:keepNext w:val="0"/>
      <w:keepLines w:val="0"/>
      <w:spacing w:before="120" w:after="120" w:line="240" w:lineRule="auto"/>
      <w:jc w:val="left"/>
    </w:pPr>
    <w:rPr>
      <w:rFonts w:eastAsia="TH SarabunPSK"/>
      <w:color w:val="auto"/>
      <w:kern w:val="36"/>
      <w:sz w:val="32"/>
      <w:szCs w:val="32"/>
    </w:rPr>
  </w:style>
  <w:style w:type="paragraph" w:styleId="TOC2">
    <w:name w:val="toc 2"/>
    <w:basedOn w:val="Heading2"/>
    <w:next w:val="Normal"/>
    <w:autoRedefine/>
    <w:uiPriority w:val="39"/>
    <w:rsid w:val="00876E84"/>
    <w:pPr>
      <w:pBdr>
        <w:bottom w:val="none" w:sz="0" w:space="0" w:color="auto"/>
      </w:pBdr>
      <w:spacing w:before="120" w:after="120" w:line="240" w:lineRule="auto"/>
      <w:ind w:left="280"/>
      <w:jc w:val="thaiDistribute"/>
    </w:pPr>
    <w:rPr>
      <w:rFonts w:eastAsia="TH SarabunPSK"/>
      <w:b w:val="0"/>
      <w:bCs w:val="0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8739C4"/>
    <w:pPr>
      <w:ind w:left="640"/>
    </w:pPr>
    <w:rPr>
      <w:rFonts w:eastAsia="TH SarabunPSK"/>
      <w:lang w:val="en-US"/>
    </w:rPr>
  </w:style>
  <w:style w:type="paragraph" w:styleId="ListParagraph">
    <w:name w:val="List Paragraph"/>
    <w:basedOn w:val="Normal"/>
    <w:uiPriority w:val="34"/>
    <w:qFormat/>
    <w:rsid w:val="00CD0FE4"/>
    <w:pPr>
      <w:spacing w:before="100" w:beforeAutospacing="1" w:after="100" w:afterAutospacing="1"/>
      <w:contextualSpacing/>
    </w:pPr>
    <w:rPr>
      <w:rFonts w:eastAsia="TH SarabunPSK"/>
      <w:szCs w:val="32"/>
    </w:rPr>
  </w:style>
  <w:style w:type="table" w:customStyle="1" w:styleId="SSRU">
    <w:name w:val="SSRU"/>
    <w:basedOn w:val="TableNormal"/>
    <w:uiPriority w:val="99"/>
    <w:rsid w:val="00A03975"/>
    <w:pPr>
      <w:jc w:val="center"/>
    </w:pPr>
    <w:rPr>
      <w:sz w:val="32"/>
      <w:szCs w:val="32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ascii="TH SarabunPSK" w:hAnsi="TH SarabunPSK"/>
        <w:sz w:val="32"/>
      </w:rPr>
      <w:tblPr/>
      <w:tcPr>
        <w:tcBorders>
          <w:bottom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FF7A51"/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A51"/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A51"/>
    <w:rPr>
      <w:rFonts w:asciiTheme="minorHAnsi" w:eastAsiaTheme="majorEastAsia" w:hAnsiTheme="minorHAnsi" w:cstheme="majorBidi"/>
      <w:color w:val="0F4761" w:themeColor="accent1" w:themeShade="BF"/>
      <w:sz w:val="3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A51"/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A51"/>
    <w:rPr>
      <w:rFonts w:asciiTheme="minorHAnsi" w:eastAsiaTheme="majorEastAsia" w:hAnsiTheme="minorHAnsi" w:cstheme="majorBidi"/>
      <w:color w:val="595959" w:themeColor="text1" w:themeTint="A6"/>
      <w:sz w:val="3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A51"/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A51"/>
    <w:rPr>
      <w:rFonts w:asciiTheme="minorHAnsi" w:eastAsiaTheme="majorEastAsia" w:hAnsiTheme="minorHAnsi" w:cstheme="majorBidi"/>
      <w:color w:val="272727" w:themeColor="text1" w:themeTint="D8"/>
      <w:sz w:val="32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A51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F7A51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F7A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A51"/>
    <w:rPr>
      <w:rFonts w:cs="Angsana New"/>
      <w:i/>
      <w:iCs/>
      <w:color w:val="404040" w:themeColor="text1" w:themeTint="BF"/>
      <w:sz w:val="32"/>
      <w:szCs w:val="24"/>
    </w:rPr>
  </w:style>
  <w:style w:type="character" w:styleId="IntenseEmphasis">
    <w:name w:val="Intense Emphasis"/>
    <w:basedOn w:val="DefaultParagraphFont"/>
    <w:uiPriority w:val="21"/>
    <w:qFormat/>
    <w:rsid w:val="00FF7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A51"/>
    <w:rPr>
      <w:rFonts w:cs="Angsana New"/>
      <w:i/>
      <w:iCs/>
      <w:color w:val="0F4761" w:themeColor="accent1" w:themeShade="BF"/>
      <w:sz w:val="32"/>
      <w:szCs w:val="24"/>
    </w:rPr>
  </w:style>
  <w:style w:type="character" w:styleId="IntenseReference">
    <w:name w:val="Intense Reference"/>
    <w:basedOn w:val="DefaultParagraphFont"/>
    <w:uiPriority w:val="32"/>
    <w:qFormat/>
    <w:rsid w:val="00FF7A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55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yhxpCU5UsVHMaf4m1Co-VJ8sQwJlN4Nu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646</Words>
  <Characters>3739</Characters>
  <Application>Microsoft Office Word</Application>
  <DocSecurity>0</DocSecurity>
  <Lines>249</Lines>
  <Paragraphs>230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นลิน สีมะเสถียรโสภณ</dc:creator>
  <cp:keywords/>
  <dc:description/>
  <cp:lastModifiedBy>นลิน สีมะเสถียรโสภณ</cp:lastModifiedBy>
  <cp:revision>32</cp:revision>
  <dcterms:created xsi:type="dcterms:W3CDTF">2026-03-21T09:37:00Z</dcterms:created>
  <dcterms:modified xsi:type="dcterms:W3CDTF">2026-03-25T06:37:00Z</dcterms:modified>
</cp:coreProperties>
</file>